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15" w:history="1">
        <w:r>
          <w:rPr>
            <w:color w:val="0000FF"/>
            <w:sz w:val="22"/>
            <w:szCs w:val="22"/>
            <w:u w:val="single"/>
          </w:rPr>
          <w:t xml:space="preserve">https://bsds.org/ja/news/91/2011-nen-5-gatsu-20-nichi-no-maitori-supi-chi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ne/news/91/maitriya-sandesh" TargetMode="External"/>
  <Relationship Id="rId10" Type="http://schemas.openxmlformats.org/officeDocument/2006/relationships/hyperlink" Target="https://bsds.org/https://bsds.org/ar/news/91/rsl-mytry-blnzr-l-lnth-mn-tbs-fy-20-myw-2011" TargetMode="External"/>
  <Relationship Id="rId11" Type="http://schemas.openxmlformats.org/officeDocument/2006/relationships/hyperlink" Target="https://bsds.org/https://bsds.org/et/news/91/dharma-sangha-kone-20-05-2011-maitriya-sandesh" TargetMode="External"/>
  <Relationship Id="rId12" Type="http://schemas.openxmlformats.org/officeDocument/2006/relationships/hyperlink" Target="https://bsds.org/https://bsds.org/fr/news/91/message-de-maitriya-maitriya-sandesh" TargetMode="External"/>
  <Relationship Id="rId13" Type="http://schemas.openxmlformats.org/officeDocument/2006/relationships/hyperlink" Target="https://bsds.org/https://bsds.org/de/news/91/maitriya-botschaft-maitriya-sandesh" TargetMode="External"/>
  <Relationship Id="rId14" Type="http://schemas.openxmlformats.org/officeDocument/2006/relationships/hyperlink" Target="https://bsds.org/https://bsds.org/it/news/91/messaggio-di-maitreya-del" TargetMode="External"/>
  <Relationship Id="rId15"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2023-04-09T08:50:09+03:00</dcterms:created>
  <dcterms:modified xsi:type="dcterms:W3CDTF">2023-04-09T08:50:09+03:00</dcterms:modified>
  <dc:title/>
  <dc:description/>
  <dc:subject/>
  <cp:keywords/>
  <cp:category/>
</cp:coreProperties>
</file>