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8" w:history="1">
        <w:r>
          <w:rPr>
            <w:color w:val="0000FF"/>
            <w:sz w:val="22"/>
            <w:szCs w:val="22"/>
            <w:u w:val="single"/>
          </w:rPr>
          <w:t xml:space="preserve">https://bsds.org/en/news/91/message-given-on-the-completion-of-tapas-on-may-20</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2023-04-09T08:50:02+03:00</dcterms:created>
  <dcterms:modified xsi:type="dcterms:W3CDTF">2023-04-09T08:50:02+03:00</dcterms:modified>
  <dc:title/>
  <dc:description/>
  <dc:subject/>
  <cp:keywords/>
  <cp:category/>
</cp:coreProperties>
</file>