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13" w:history="1">
        <w:r>
          <w:rPr>
            <w:color w:val="0000FF"/>
            <w:sz w:val="22"/>
            <w:szCs w:val="22"/>
            <w:u w:val="single"/>
          </w:rPr>
          <w:t xml:space="preserve">https://bsds.org/ja/news/170/2014-nen-2-gatsu-22-nichi-ramujun-niokeru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 Id="rId13" Type="http://schemas.openxmlformats.org/officeDocument/2006/relationships/hyperlink" Target="https://bsds.org/https://bsds.org/ja/news/170/2014-nen-2-gatsu-22-nichi-ramujun-nioke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2023-05-16T09:06:15+03:00</dcterms:created>
  <dcterms:modified xsi:type="dcterms:W3CDTF">2023-05-16T09:06:15+03:00</dcterms:modified>
  <dc:title/>
  <dc:description/>
  <dc:subject/>
  <cp:keywords/>
  <cp:category/>
</cp:coreProperties>
</file>