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10" w:history="1">
        <w:r>
          <w:rPr>
            <w:color w:val="0000FF"/>
            <w:sz w:val="22"/>
            <w:szCs w:val="22"/>
            <w:u w:val="single"/>
          </w:rPr>
          <w:t xml:space="preserve">https://bsds.org/fr/news/170/le-message-du-guru-maha-sambodhi-dharma-sangha-a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 Id="rId9" Type="http://schemas.openxmlformats.org/officeDocument/2006/relationships/hyperlink" Target="https://bsds.org/https://bsds.org/ne/news/170/dharma-desana-lamjung" TargetMode="External"/>
  <Relationship Id="rId10" Type="http://schemas.openxmlformats.org/officeDocument/2006/relationships/hyperlink" Target="https://bsds.org/https://bsds.org/fr/news/170/le-message-du-guru-maha-sambodhi-dharma-sangha-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2023-05-16T09:06:11+03:00</dcterms:created>
  <dcterms:modified xsi:type="dcterms:W3CDTF">2023-05-16T09:06:11+03:00</dcterms:modified>
  <dc:title/>
  <dc:description/>
  <dc:subject/>
  <cp:keywords/>
  <cp:category/>
</cp:coreProperties>
</file>