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Message du gourou Maha Sambodhi Dharma 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13" w:history="1">
        <w:r>
          <w:rPr>
            <w:color w:val="0000FF"/>
            <w:sz w:val="22"/>
            <w:szCs w:val="22"/>
            <w:u w:val="single"/>
          </w:rPr>
          <w:t xml:space="preserve">https://bsds.org/fr/news/158/message-du-gourou-maha-sambodhi-dharma-sangha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 Id="rId9" Type="http://schemas.openxmlformats.org/officeDocument/2006/relationships/hyperlink" Target="https://bsds.org/https://bsds.org/ne/news/158/vi-sn-2070-saal-jesstth-25-gte-citvnko-shaardaa" TargetMode="External"/>
  <Relationship Id="rId10" Type="http://schemas.openxmlformats.org/officeDocument/2006/relationships/hyperlink" Target="https://bsds.org/https://bsds.org/zh_CN/news/158/da-deng-jue-wan-fa-he-he-zhong-shang-shi-yu-er" TargetMode="External"/>
  <Relationship Id="rId11" Type="http://schemas.openxmlformats.org/officeDocument/2006/relationships/hyperlink" Target="https://bsds.org/https://bsds.org/zh_TW/news/158/da-deng-jue-wan-fa-he-he-zhong-shang-shi-zai-er" TargetMode="External"/>
  <Relationship Id="rId12" Type="http://schemas.openxmlformats.org/officeDocument/2006/relationships/hyperlink" Target="https://bsds.org/https://bsds.org/et/news/158/maha-sambodhi-dharma-sangha-guru-sonum-chitwanis" TargetMode="External"/>
  <Relationship Id="rId13" Type="http://schemas.openxmlformats.org/officeDocument/2006/relationships/hyperlink" Target="https://bsds.org/https://bsds.org/fr/news/158/message-du-gourou-maha-sambodhi-dharma-sangh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2020-04-26T02:21:13+01:00</dcterms:created>
  <dcterms:modified xsi:type="dcterms:W3CDTF">2020-04-26T02:21:13+01:00</dcterms:modified>
  <dc:title/>
  <dc:description/>
  <dc:subject/>
  <cp:keywords/>
  <cp:category/>
</cp:coreProperties>
</file>