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Discours donné par le gourou Maïtriya Maha Sambodhi Dharma 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1"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17" w:history="1">
        <w:r>
          <w:rPr>
            <w:color w:val="0000FF"/>
            <w:sz w:val="22"/>
            <w:szCs w:val="22"/>
            <w:u w:val="single"/>
          </w:rPr>
          <w:t xml:space="preserve">https://bsds.org/fr/news/148/discours-donne-par-le-gourou-maitriya-maha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11" Type="http://schemas.openxmlformats.org/officeDocument/2006/relationships/image" Target="media/section_image2.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ru/news/91/poslanie-dannoe-po-zavershenii-tapasi-askezy-20" TargetMode="External"/>
  <Relationship Id="rId10" Type="http://schemas.openxmlformats.org/officeDocument/2006/relationships/hyperlink" Target="https://bsds.org/https://bsds.org/zh_TW/news/91/er-ling-yi-yi-nian-wu-yue-er-shi-ri-liu-nian-ku" TargetMode="External"/>
  <Relationship Id="rId12" Type="http://schemas.openxmlformats.org/officeDocument/2006/relationships/hyperlink" Target="https://bsds.org/https://bsds.org/en/news/148/maha-sambodhi-dharma-sangha-guru-s-message-in" TargetMode="External"/>
  <Relationship Id="rId13" Type="http://schemas.openxmlformats.org/officeDocument/2006/relationships/hyperlink" Target="https://bsds.org/https://bsds.org/ne/news/148/vi-sn-2069-caitr-27-gte-srlaahii-pthrkottmaa-vishv" TargetMode="External"/>
  <Relationship Id="rId14" Type="http://schemas.openxmlformats.org/officeDocument/2006/relationships/hyperlink" Target="https://bsds.org/https://bsds.org/zh_CN/news/148/da-deng-jue-wan-fa-he-he-zhong-shang-shi-yu-er" TargetMode="External"/>
  <Relationship Id="rId15" Type="http://schemas.openxmlformats.org/officeDocument/2006/relationships/hyperlink" Target="https://bsds.org/https://bsds.org/zh_TW/news/148/da-deng-jue-wan-fa-he-he-zhong-shang-shi-yu-er" TargetMode="External"/>
  <Relationship Id="rId16" Type="http://schemas.openxmlformats.org/officeDocument/2006/relationships/hyperlink" Target="https://bsds.org/https://bsds.org/et/news/148/guru-maha-sambodhi-dharma-sangha-sonum-09-04-2013" TargetMode="External"/>
  <Relationship Id="rId17" Type="http://schemas.openxmlformats.org/officeDocument/2006/relationships/hyperlink" Target="https://bsds.org/https://bsds.org/fr/news/148/discours-donne-par-le-gourou-maitriya-ma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2020-04-26T04:09:19+01:00</dcterms:created>
  <dcterms:modified xsi:type="dcterms:W3CDTF">2020-04-26T04:09:19+01:00</dcterms:modified>
  <dc:title/>
  <dc:description/>
  <dc:subject/>
  <cp:keywords/>
  <cp:category/>
</cp:coreProperties>
</file>