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18" w:history="1">
        <w:r>
          <w:rPr>
            <w:color w:val="0000FF"/>
            <w:sz w:val="22"/>
            <w:szCs w:val="22"/>
            <w:u w:val="single"/>
          </w:rPr>
          <w:t xml:space="preserve">https://bsds.org/de/news/148/maha-sambodhi-dharma-sangha-guru-s-botschaft-in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 Id="rId13" Type="http://schemas.openxmlformats.org/officeDocument/2006/relationships/hyperlink" Target="https://bsds.org/https://bsds.org/ne/news/148/vi-sn-2069-caitr-27-gte-srlaahii-pthrkottmaa-vishv" TargetMode="External"/>
  <Relationship Id="rId14" Type="http://schemas.openxmlformats.org/officeDocument/2006/relationships/hyperlink" Target="https://bsds.org/https://bsds.org/zh_CN/news/148/da-deng-jue-wan-fa-he-he-zhong-shang-shi-yu-er" TargetMode="External"/>
  <Relationship Id="rId15" Type="http://schemas.openxmlformats.org/officeDocument/2006/relationships/hyperlink" Target="https://bsds.org/https://bsds.org/zh_TW/news/148/da-deng-jue-wan-fa-he-he-zhong-shang-shi-yu-er" TargetMode="External"/>
  <Relationship Id="rId16" Type="http://schemas.openxmlformats.org/officeDocument/2006/relationships/hyperlink" Target="https://bsds.org/https://bsds.org/et/news/148/guru-maha-sambodhi-dharma-sangha-sonum-09-04-2013" TargetMode="External"/>
  <Relationship Id="rId17" Type="http://schemas.openxmlformats.org/officeDocument/2006/relationships/hyperlink" Target="https://bsds.org/https://bsds.org/fr/news/148/discours-donne-par-le-gourou-maitriya-maha" TargetMode="External"/>
  <Relationship Id="rId18" Type="http://schemas.openxmlformats.org/officeDocument/2006/relationships/hyperlink" Target="https://bsds.org/https://bsds.org/de/news/148/maha-sambodhi-dharma-sangha-guru-s-botschaft-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2020-04-26T04:09:20+01:00</dcterms:created>
  <dcterms:modified xsi:type="dcterms:W3CDTF">2020-04-26T04:09:20+01:00</dcterms:modified>
  <dc:title/>
  <dc:description/>
  <dc:subject/>
  <cp:keywords/>
  <cp:category/>
</cp:coreProperties>
</file>