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8" w:history="1">
        <w:r>
          <w:rPr>
            <w:color w:val="0000FF"/>
            <w:sz w:val="22"/>
            <w:szCs w:val="22"/>
            <w:u w:val="single"/>
          </w:rPr>
          <w:t xml:space="preserve">https://bsds.org/en/news/127/birthday-speech-in-halkhoriya-in-2012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7/birthday-speech-in-halkhoriya-in-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2023-04-09T10:26:01+03:00</dcterms:created>
  <dcterms:modified xsi:type="dcterms:W3CDTF">2023-04-09T10:26:01+03:00</dcterms:modified>
  <dc:title/>
  <dc:description/>
  <dc:subject/>
  <cp:keywords/>
  <cp:category/>
</cp:coreProperties>
</file>