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20" w:history="1">
        <w:r>
          <w:rPr>
            <w:color w:val="0000FF"/>
            <w:sz w:val="22"/>
            <w:szCs w:val="22"/>
            <w:u w:val="single"/>
          </w:rPr>
          <w:t xml:space="preserve">https://bsds.org/vi/news/124/bai-thuyet-giang-ngay-21-thang-3-nam-2012-cua-dai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 Id="rId12" Type="http://schemas.openxmlformats.org/officeDocument/2006/relationships/hyperlink" Target="https://bsds.org/https://bsds.org/de/news/124/eroffnungsrede-zur-world-peace-maitri-puja-am-21" TargetMode="External"/>
  <Relationship Id="rId13" Type="http://schemas.openxmlformats.org/officeDocument/2006/relationships/hyperlink" Target="https://bsds.org/https://bsds.org/ja/news/124/sekaiheiwa-miroku-kigan-no-gi-hajimarino-houwa" TargetMode="External"/>
  <Relationship Id="rId14" Type="http://schemas.openxmlformats.org/officeDocument/2006/relationships/hyperlink" Target="https://bsds.org/https://bsds.org/pl/news/124/otwierajaca-przemowa-na-maitri-pudzy-pokoju-na" TargetMode="External"/>
  <Relationship Id="rId15" Type="http://schemas.openxmlformats.org/officeDocument/2006/relationships/hyperlink" Target="https://bsds.org/https://bsds.org/pt_BR/news/124/discurso-de-abertura-para-a-paz-mundial-maitri" TargetMode="External"/>
  <Relationship Id="rId16" Type="http://schemas.openxmlformats.org/officeDocument/2006/relationships/hyperlink" Target="https://bsds.org/https://bsds.org/ru/news/124/vstupitelnaya-rech-darmasangi-2012" TargetMode="External"/>
  <Relationship Id="rId17" Type="http://schemas.openxmlformats.org/officeDocument/2006/relationships/hyperlink" Target="https://bsds.org/https://bsds.org/sr/news/124/uvodni-govor-na-puji-za-mir-u-svetu-21-marta-2012" TargetMode="External"/>
  <Relationship Id="rId18" Type="http://schemas.openxmlformats.org/officeDocument/2006/relationships/hyperlink" Target="https://bsds.org/https://bsds.org/es/news/124/maitry-puja" TargetMode="External"/>
  <Relationship Id="rId19" Type="http://schemas.openxmlformats.org/officeDocument/2006/relationships/hyperlink" Target="https://bsds.org/https://bsds.org/uk/news/124/vstupna-promova-na-molitvi-pro-lyubov-i-mir-u" TargetMode="External"/>
  <Relationship Id="rId20" Type="http://schemas.openxmlformats.org/officeDocument/2006/relationships/hyperlink" Target="https://bsds.org/https://bsds.org/vi/news/124/bai-thuyet-giang-ngay-21-thang-3-nam-2012-cua-d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2023-04-09T13:30:16+03:00</dcterms:created>
  <dcterms:modified xsi:type="dcterms:W3CDTF">2023-04-09T13:30:16+03:00</dcterms:modified>
  <dc:title/>
  <dc:description/>
  <dc:subject/>
  <cp:keywords/>
  <cp:category/>
</cp:coreProperties>
</file>