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12" w:history="1">
        <w:r>
          <w:rPr>
            <w:color w:val="0000FF"/>
            <w:sz w:val="22"/>
            <w:szCs w:val="22"/>
            <w:u w:val="single"/>
          </w:rPr>
          <w:t xml:space="preserve">https://bsds.org/de/news/124/eroffnungsrede-zur-world-peace-maitri-puja-am-21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2023-04-09T13:30:10+03:00</dcterms:created>
  <dcterms:modified xsi:type="dcterms:W3CDTF">2023-04-09T13:30:10+03:00</dcterms:modified>
  <dc:title/>
  <dc:description/>
  <dc:subject/>
  <cp:keywords/>
  <cp:category/>
</cp:coreProperties>
</file>