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 Дотримуючись Істинного Шляху Учителя [5]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 “проти Дарми”, оскільки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 “прапта гарну” – досягнути, воно означає Просвітлення.</w:t>
      </w:r>
    </w:p>
    <w:p/>
    <w:p>
      <w:r>
        <w:rPr>
          <w:sz w:val="22"/>
          <w:szCs w:val="22"/>
        </w:rPr>
        <w:t xml:space="preserve">[3] В оригиналі: Шил –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7" w:history="1">
        <w:r>
          <w:rPr>
            <w:color w:val="0000FF"/>
            <w:sz w:val="22"/>
            <w:szCs w:val="22"/>
            <w:u w:val="single"/>
          </w:rPr>
          <w:t xml:space="preserve">http://maitriya.info/uk/news/119/poslannya-maha-sambodi-darma-sangi-vid-28-sichnya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uk/news/119/poslannya-maha-sambodi-darma-sangi-vid-28-sichny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2018-12-14T14:40:02+05:45</dcterms:created>
  <dcterms:modified xsi:type="dcterms:W3CDTF">2018-12-14T14:40:02+05:45</dcterms:modified>
  <dc:title/>
  <dc:description/>
  <dc:subject/>
  <cp:keywords/>
  <cp:category/>
</cp:coreProperties>
</file>