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Maha Sambodhi Dharma Sanghe od 28. Januara 2012</w:t>
      </w:r>
    </w:p>
    <w:p/>
    <w:p>
      <w:r>
        <w:rPr>
          <w:sz w:val="22"/>
          <w:szCs w:val="22"/>
        </w:rPr>
        <w:t xml:space="preserve"> 28 јануар 2012 / Updated on 30 јул 2016 </w:t>
      </w:r>
    </w:p>
    <w:p/>
    <w:p>
      <w:r>
        <w:rPr>
          <w:sz w:val="22"/>
          <w:szCs w:val="22"/>
        </w:rPr>
        <w:t xml:space="preserve"> </w:t>
      </w:r>
    </w:p>
    <w:p/>
    <w:p>
      <w:r>
        <w:rPr>
          <w:sz w:val="22"/>
          <w:szCs w:val="22"/>
        </w:rPr>
        <w:t xml:space="preserve">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w:t>
      </w:r>
    </w:p>
    <w:p>
      <w:r>
        <w:rPr>
          <w:sz w:val="22"/>
          <w:szCs w:val="22"/>
        </w:rPr>
        <w:t xml:space="preserve"> </w:t>
      </w:r>
    </w:p>
    <w:p>
      <w:r>
        <w:rPr>
          <w:sz w:val="22"/>
          <w:szCs w:val="22"/>
        </w:rPr>
        <w:t xml:space="preserve"> </w:t>
      </w:r>
      <w:r>
        <w:rPr>
          <w:sz w:val="22"/>
          <w:szCs w:val="22"/>
          <w:b/>
        </w:rPr>
        <w:t xml:space="preserve">Translated by:</w:t>
      </w:r>
      <w:r>
        <w:rPr>
          <w:sz w:val="22"/>
          <w:szCs w:val="22"/>
        </w:rPr>
        <w:t xml:space="preserve"> Vesna i Aleksandra </w:t>
      </w:r>
    </w:p>
    <w:p/>
    <w:p>
      <w:r>
        <w:rPr>
          <w:sz w:val="22"/>
          <w:szCs w:val="22"/>
        </w:rPr>
        <w:t xml:space="preserve"> </w:t>
      </w:r>
      <w:r>
        <w:rPr>
          <w:sz w:val="22"/>
          <w:szCs w:val="22"/>
        </w:rPr>
        <w:t xml:space="preserve"> </w:t>
      </w:r>
    </w:p>
    <w:p/>
    <w:p>
      <w:hyperlink r:id="rId28" w:history="1">
        <w:r>
          <w:rPr>
            <w:color w:val="0000FF"/>
            <w:sz w:val="22"/>
            <w:szCs w:val="22"/>
            <w:u w:val="single"/>
          </w:rPr>
          <w:t xml:space="preserve">http://maitriya.info/sr/news/119/poruka-maha-sambodhi-dharma-sanghe-od-28-januara</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en/news/150/the-eleven-maitri-precepts" TargetMode="External"/>
  <Relationship Id="rId8" Type="http://schemas.openxmlformats.org/officeDocument/2006/relationships/hyperlink" Target="http://maitriya.info/ru/news/150/odinnadtsat-zapovedey-maytri" TargetMode="External"/>
  <Relationship Id="rId9" Type="http://schemas.openxmlformats.org/officeDocument/2006/relationships/hyperlink" Target="http://maitriya.info/fr/news/150/les-onzes-preceptes-de-l-amour-bienveillant-maitri" TargetMode="External"/>
  <Relationship Id="rId10" Type="http://schemas.openxmlformats.org/officeDocument/2006/relationships/hyperlink" Target="http://maitriya.info/zh_CN/news/150" TargetMode="External"/>
  <Relationship Id="rId11" Type="http://schemas.openxmlformats.org/officeDocument/2006/relationships/hyperlink" Target="http://maitriya.info/zh_TW/news/150" TargetMode="External"/>
  <Relationship Id="rId12" Type="http://schemas.openxmlformats.org/officeDocument/2006/relationships/hyperlink" Target="http://maitriya.info/vi/news/150/11-dieu-ran-maitri" TargetMode="External"/>
  <Relationship Id="rId13" Type="http://schemas.openxmlformats.org/officeDocument/2006/relationships/hyperlink" Target="http://maitriya.info/ja/news/150" TargetMode="External"/>
  <Relationship Id="rId14" Type="http://schemas.openxmlformats.org/officeDocument/2006/relationships/hyperlink" Target="http://maitriya.info/es/news/150/los-once-preceptos-de-maitri" TargetMode="External"/>
  <Relationship Id="rId15" Type="http://schemas.openxmlformats.org/officeDocument/2006/relationships/hyperlink" Target="http://maitriya.info/it/news/150/gli-undici-precetti-di-maitri-dell-amore" TargetMode="External"/>
  <Relationship Id="rId16" Type="http://schemas.openxmlformats.org/officeDocument/2006/relationships/hyperlink" Target="http://maitriya.info/ne/news/150" TargetMode="External"/>
  <Relationship Id="rId17" Type="http://schemas.openxmlformats.org/officeDocument/2006/relationships/hyperlink" Target="http://maitriya.info/de/news/150/die-elf-maitri-verhaltensregeln" TargetMode="External"/>
  <Relationship Id="rId18" Type="http://schemas.openxmlformats.org/officeDocument/2006/relationships/hyperlink" Target="http://maitriya.info/sr/news/150/jedanaest-maitri-principa" TargetMode="External"/>
  <Relationship Id="rId19" Type="http://schemas.openxmlformats.org/officeDocument/2006/relationships/hyperlink" Target="http://maitriya.info/en/news/119/maha-sambodhi-dharma-sangha-s-message-of-january" TargetMode="External"/>
  <Relationship Id="rId20" Type="http://schemas.openxmlformats.org/officeDocument/2006/relationships/hyperlink" Target="http://maitriya.info/ru/news/119/poslanie-maha-sambodi-darma-sangi-ot-28-yanvarya" TargetMode="External"/>
  <Relationship Id="rId21" Type="http://schemas.openxmlformats.org/officeDocument/2006/relationships/hyperlink" Target="http://maitriya.info/pl/news/119/wiadomosc-maha-sambodhi-dharma-sangha-z-28" TargetMode="External"/>
  <Relationship Id="rId22" Type="http://schemas.openxmlformats.org/officeDocument/2006/relationships/hyperlink" Target="http://maitriya.info/vi/news/119/thong-diep-cua-ngai-maha-sambodhi-dharma-sangha" TargetMode="External"/>
  <Relationship Id="rId23" Type="http://schemas.openxmlformats.org/officeDocument/2006/relationships/hyperlink" Target="http://maitriya.info/ja/news/119/2012-1-28" TargetMode="External"/>
  <Relationship Id="rId24" Type="http://schemas.openxmlformats.org/officeDocument/2006/relationships/hyperlink" Target="http://maitriya.info/es/news/119/mensaje-de-maha-sambodhi-dharma-sangha-28-de-enero" TargetMode="External"/>
  <Relationship Id="rId25" Type="http://schemas.openxmlformats.org/officeDocument/2006/relationships/hyperlink" Target="http://maitriya.info/et/news/119/maha-sambodhi-dharma-sangha-sonum-28-01-2012" TargetMode="External"/>
  <Relationship Id="rId26" Type="http://schemas.openxmlformats.org/officeDocument/2006/relationships/hyperlink" Target="http://maitriya.info/ne/news/119/28-01-2012" TargetMode="External"/>
  <Relationship Id="rId27" Type="http://schemas.openxmlformats.org/officeDocument/2006/relationships/hyperlink" Target="http://maitriya.info/de/news/119/maha-sambodhi-dharma-sangha-s-botschaft-vom-28" TargetMode="External"/>
  <Relationship Id="rId28" Type="http://schemas.openxmlformats.org/officeDocument/2006/relationships/hyperlink" Target="http://maitriya.info/sr/news/119/poruka-maha-sambodhi-dharma-sanghe-od-28-januar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2016-07-30T19:46:41+04:00</dcterms:created>
  <dcterms:modified xsi:type="dcterms:W3CDTF">2016-07-30T19:46:41+04:00</dcterms:modified>
  <dc:title/>
  <dc:description/>
  <dc:subject/>
  <cp:keywords/>
  <cp:category/>
</cp:coreProperties>
</file>