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8" w:history="1">
        <w:r>
          <w:rPr>
            <w:color w:val="0000FF"/>
            <w:sz w:val="22"/>
            <w:szCs w:val="22"/>
            <w:u w:val="single"/>
          </w:rPr>
          <w:t xml:space="preserve">https://bsds.org/en/news/103/speech-of-dharmasangha-on-june-4-2011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03/speech-of-dharmasangha-on-june-4-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2023-04-06T17:20:01+03:00</dcterms:created>
  <dcterms:modified xsi:type="dcterms:W3CDTF">2023-04-06T17:20:01+03:00</dcterms:modified>
  <dc:title/>
  <dc:description/>
  <dc:subject/>
  <cp:keywords/>
  <cp:category/>
</cp:coreProperties>
</file>