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10" w:history="1">
        <w:r>
          <w:rPr>
            <w:color w:val="0000FF"/>
            <w:sz w:val="22"/>
            <w:szCs w:val="22"/>
            <w:u w:val="single"/>
          </w:rPr>
          <w:t xml:space="preserve">https://bsds.org/da/news/103/dharma-sanghaens-tale-d-4-juni-2011</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03/speech-of-dharmasangha-on-june-4-2011" TargetMode="External"/>
  <Relationship Id="rId9" Type="http://schemas.openxmlformats.org/officeDocument/2006/relationships/hyperlink" Target="https://bsds.org/https://bsds.org/ne/news/103/04-06-2011" TargetMode="External"/>
  <Relationship Id="rId10"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2023-04-06T17:20:03+03:00</dcterms:created>
  <dcterms:modified xsi:type="dcterms:W3CDTF">2023-04-06T17:20:03+03:00</dcterms:modified>
  <dc:title/>
  <dc:description/>
  <dc:subject/>
  <cp:keywords/>
  <cp:category/>
</cp:coreProperties>
</file>